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Comunicato stampa - 28 gennaio 2022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TORX® eXperience e PAX, un nuovo modo di concepire l’esperienza TORX®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mondo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si allarga sempre più. Era il 2019 quando VDA Trailers diede vita a TORX® per celebrare la decima edizione del TOR330 – Tor des Géants® unendo anche le altre tre gare della manifestazione, il TOR450 – Tor des Glaciers, il TOR130 – Tot Dret ed il TOR30 – Passage au Malatrà. Quattro gare diverse per difficoltà, livello di preparazione e tempi, ma accomunate da tre fattori per un’esperienza unica: </w:t>
      </w:r>
      <w:r w:rsidDel="00000000" w:rsidR="00000000" w:rsidRPr="00000000">
        <w:rPr>
          <w:b w:val="1"/>
          <w:sz w:val="27"/>
          <w:szCs w:val="27"/>
          <w:rtl w:val="0"/>
        </w:rPr>
        <w:t xml:space="preserve">lo spirito trail, i magnifici paesaggi ed un’organizzazione di altissimo livello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Con quelle ed altre gare intorno al mondo nasce quindi la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eXperience, un sistema di competizioni accomunate dall’esperienza e dai valori del TORX®</w:t>
      </w:r>
      <w:r w:rsidDel="00000000" w:rsidR="00000000" w:rsidRPr="00000000">
        <w:rPr>
          <w:sz w:val="27"/>
          <w:szCs w:val="27"/>
          <w:rtl w:val="0"/>
        </w:rPr>
        <w:t xml:space="preserve">, con panorami mozzafiato vissuti con la fatica, la passione, la condivisione e la connessione che portano con sé ricordi memorabili per chi li vive. Con lei viene creato un nuovo concetto, quello dei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PAX, i pettorali dedicati esclusivamente a chi ha concluso una gara TORX® eXperience</w:t>
      </w:r>
      <w:r w:rsidDel="00000000" w:rsidR="00000000" w:rsidRPr="00000000">
        <w:rPr>
          <w:sz w:val="27"/>
          <w:szCs w:val="27"/>
          <w:rtl w:val="0"/>
        </w:rPr>
        <w:t xml:space="preserve">: essere finisher significa avere i numeri per provare a concludere il TOR330 - Tor des Géants®. </w:t>
      </w:r>
      <w:r w:rsidDel="00000000" w:rsidR="00000000" w:rsidRPr="00000000">
        <w:rPr>
          <w:b w:val="1"/>
          <w:sz w:val="27"/>
          <w:szCs w:val="27"/>
          <w:rtl w:val="0"/>
        </w:rPr>
        <w:t xml:space="preserve">Grazie al nuovo sistema dei PAX è possibile sognare la sfida delle sfide, il mitico Tor des Géants® dell’anno successivo senza passare dal sorteggio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Ogni anno viene messo a disposizione per il TOR330 </w:t>
      </w:r>
      <w:r w:rsidDel="00000000" w:rsidR="00000000" w:rsidRPr="00000000">
        <w:rPr>
          <w:b w:val="1"/>
          <w:sz w:val="27"/>
          <w:szCs w:val="27"/>
          <w:rtl w:val="0"/>
        </w:rPr>
        <w:t xml:space="preserve">un numero limitato di PAX dedicati esclusivamente a chi ha concluso una gara TORX® eXperience</w:t>
      </w:r>
      <w:r w:rsidDel="00000000" w:rsidR="00000000" w:rsidRPr="00000000">
        <w:rPr>
          <w:sz w:val="27"/>
          <w:szCs w:val="27"/>
          <w:rtl w:val="0"/>
        </w:rPr>
        <w:t xml:space="preserve">: quest’anno sono disponibili </w:t>
      </w:r>
      <w:r w:rsidDel="00000000" w:rsidR="00000000" w:rsidRPr="00000000">
        <w:rPr>
          <w:b w:val="1"/>
          <w:sz w:val="27"/>
          <w:szCs w:val="27"/>
          <w:rtl w:val="0"/>
        </w:rPr>
        <w:t xml:space="preserve">200 PAX per i finishers del TOR130 – Tot Dret e 100 PAX per quelli del GTC100</w:t>
      </w:r>
      <w:r w:rsidDel="00000000" w:rsidR="00000000" w:rsidRPr="00000000">
        <w:rPr>
          <w:sz w:val="27"/>
          <w:szCs w:val="27"/>
          <w:rtl w:val="0"/>
        </w:rPr>
        <w:t xml:space="preserve">, indipendentemente dalla posizione in classifica.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numero di PAX è destinato a crescere, per una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eXperience</w:t>
      </w:r>
      <w:r w:rsidDel="00000000" w:rsidR="00000000" w:rsidRPr="00000000">
        <w:rPr>
          <w:sz w:val="27"/>
          <w:szCs w:val="27"/>
          <w:rtl w:val="0"/>
        </w:rPr>
        <w:t xml:space="preserve"> di respiro mondiale con </w:t>
      </w:r>
      <w:r w:rsidDel="00000000" w:rsidR="00000000" w:rsidRPr="00000000">
        <w:rPr>
          <w:b w:val="1"/>
          <w:sz w:val="27"/>
          <w:szCs w:val="27"/>
          <w:rtl w:val="0"/>
        </w:rPr>
        <w:t xml:space="preserve">nuove gare che si aggiungeranno</w:t>
      </w:r>
      <w:r w:rsidDel="00000000" w:rsidR="00000000" w:rsidRPr="00000000">
        <w:rPr>
          <w:sz w:val="27"/>
          <w:szCs w:val="27"/>
          <w:rtl w:val="0"/>
        </w:rPr>
        <w:t xml:space="preserve"> e che condivideranno, con quelle attualmente inserite nel circuito, le stesse caratteristiche che le rendono uniche: il prestigio internazionale, l’alto livello agonistico ed organizzativo e l’elevata difficoltà e messa alla prova degli atleti. Per vivere un sogno sempre più possibile.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PRESENTAZIONE MANIFESTO TORX® 2022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Anche quest’anno il manifesto del TORX® è stato firmato dall'illustratore Francesco Bongiorni, già autore della splendida locandina del 2021. L’appuntamento con la presentazione del suo nuovo lavoro è per martedì 1 febbraio, alle ore 11, in diretta streaming sulla </w:t>
      </w:r>
      <w:hyperlink r:id="rId6">
        <w:r w:rsidDel="00000000" w:rsidR="00000000" w:rsidRPr="00000000">
          <w:rPr>
            <w:sz w:val="27"/>
            <w:szCs w:val="27"/>
            <w:rtl w:val="0"/>
          </w:rPr>
          <w:t xml:space="preserve">pagina Facebook</w:t>
        </w:r>
      </w:hyperlink>
      <w:r w:rsidDel="00000000" w:rsidR="00000000" w:rsidRPr="00000000">
        <w:rPr>
          <w:sz w:val="27"/>
          <w:szCs w:val="27"/>
          <w:rtl w:val="0"/>
        </w:rPr>
        <w:t xml:space="preserve"> e il </w:t>
      </w:r>
      <w:hyperlink r:id="rId7">
        <w:r w:rsidDel="00000000" w:rsidR="00000000" w:rsidRPr="00000000">
          <w:rPr>
            <w:sz w:val="27"/>
            <w:szCs w:val="27"/>
            <w:rtl w:val="0"/>
          </w:rPr>
          <w:t xml:space="preserve">canale Youtube</w:t>
        </w:r>
      </w:hyperlink>
      <w:r w:rsidDel="00000000" w:rsidR="00000000" w:rsidRPr="00000000">
        <w:rPr>
          <w:sz w:val="27"/>
          <w:szCs w:val="27"/>
          <w:rtl w:val="0"/>
        </w:rPr>
        <w:t xml:space="preserve"> della manifestazione. L’evento lancia ufficialmente l’apertura alle preiscrizioni del TOR330 - Tor des Géants® che apriranno quindi alle ore 12 per restare aperte fino alla mezzanotte del 14 febbraio 2022.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press@vdatrailers.it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hd w:fill="ffffff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r.piccione.100x100trail.com/mk/cl/f/4EPjo1qNiOt8V5cVu7kKuGjYhuVajXqaWI4vpSeQSLrW-iOm-pBaRQi6UaI21MlO3ci-dWHISEflkiFUERRAQujdTK81xlYD2VcAL_Yq5jdZVq0ilU2q-bHl6jK7trNGskk58mCmYes-JJyRaYpi1x2eIyve3dMDy2wdZeIm8ka8fRXruABoVJUV0B-xG9tT86ghhpJh1YFgyFd2aDzplxA-52JjjBFV-b30sMWlOFmAMTL5y6f9OjO8QA3olBcR04CDJ5eswa410IJ3lXObqSayR39VocrNy9Ff-CpYBVJc9pFp68R9VtJY9QSox0mU7cL6QxzwvirkgSBBxQYNj7hPfV3JFZHfzXJ_wCh4vnt0L9cvtOdz0eSRrPqmH-8u-UdQXALDKm14koSwLCru09VljeDFOm7pkeZzS-EgEv7W0NDuZ2yinc9rWpzifdrRg4g4lh7V" TargetMode="External"/><Relationship Id="rId7" Type="http://schemas.openxmlformats.org/officeDocument/2006/relationships/hyperlink" Target="http://r.piccione.100x100trail.com/mk/cl/f/m5wi_Zl7JGRnOfeAIhfgIk0zZw7-rpaoCXG57Z4KPfQ2iZQ_HRfp2ExzzuGc521DnDnkN_DijlUjgae_ZF8cGL0U-HQhcJ0UEduRdUJABpBTCqUfaOTt-7-heBJ2ywsB4Yf3sTCcdfa9jry-kNA7V5N23-qb-1S2qeLdmitzxDaJ7uZ-xTRVnsMqjDkv-fMxX13Une44E6CIuqvcBlqzQ4XyOfVseY9QLYsuXuOzjZowwvuMxwhkxda8mDOg7fBLk5E2Z3Zox26C1fQEuU30PKT81011Ol3ixsiOcuZM81w9yJGpfoYTjzIqyJ8THu8o8HyAPQ0yJblaMpHVdFzRu7xQ4yMsY-ptwjK13pTEccvjTT7FwQpXF7lXkNEY0gokYC3wUdM1zTqJH49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